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74" w:rsidRPr="002D5693" w:rsidRDefault="00F26174" w:rsidP="00F26174">
      <w:pPr>
        <w:jc w:val="center"/>
        <w:rPr>
          <w:rFonts w:ascii="Garamond" w:hAnsi="Garamond"/>
          <w:b/>
        </w:rPr>
      </w:pPr>
      <w:bookmarkStart w:id="0" w:name="_GoBack"/>
      <w:bookmarkEnd w:id="0"/>
      <w:r w:rsidRPr="002D5693">
        <w:rPr>
          <w:rFonts w:ascii="Garamond" w:hAnsi="Garamond"/>
          <w:b/>
        </w:rPr>
        <w:t>POLICY FOR DETERMINING MATERIAL SUBSIDIARIES</w:t>
      </w:r>
    </w:p>
    <w:p w:rsidR="00F26174" w:rsidRPr="002D5693" w:rsidRDefault="00F26174" w:rsidP="00F26174">
      <w:pPr>
        <w:rPr>
          <w:rFonts w:ascii="Garamond" w:hAnsi="Garamond"/>
          <w:b/>
        </w:rPr>
      </w:pPr>
    </w:p>
    <w:p w:rsidR="00F26174" w:rsidRPr="005E1CC9" w:rsidRDefault="00F26174" w:rsidP="00F26174">
      <w:pPr>
        <w:rPr>
          <w:rFonts w:ascii="Garamond" w:hAnsi="Garamond"/>
          <w:b/>
        </w:rPr>
      </w:pPr>
      <w:r w:rsidRPr="005E1CC9">
        <w:rPr>
          <w:rFonts w:ascii="Garamond" w:hAnsi="Garamond"/>
          <w:b/>
        </w:rPr>
        <w:t xml:space="preserve">TITLE: </w:t>
      </w:r>
    </w:p>
    <w:p w:rsidR="00F26174" w:rsidRDefault="00F26174" w:rsidP="00F26174">
      <w:pPr>
        <w:rPr>
          <w:rFonts w:ascii="Garamond" w:hAnsi="Garamond"/>
        </w:rPr>
      </w:pPr>
    </w:p>
    <w:p w:rsidR="00F26174" w:rsidRPr="005E1CC9" w:rsidRDefault="00F26174" w:rsidP="00F26174">
      <w:pPr>
        <w:rPr>
          <w:rFonts w:ascii="Garamond" w:hAnsi="Garamond"/>
        </w:rPr>
      </w:pPr>
      <w:r w:rsidRPr="005E1CC9">
        <w:rPr>
          <w:rFonts w:ascii="Garamond" w:hAnsi="Garamond"/>
        </w:rPr>
        <w:t xml:space="preserve">This Policy shall be called </w:t>
      </w:r>
      <w:r>
        <w:rPr>
          <w:rFonts w:ascii="Garamond" w:hAnsi="Garamond"/>
        </w:rPr>
        <w:t xml:space="preserve">the </w:t>
      </w:r>
      <w:r w:rsidRPr="005E1CC9">
        <w:rPr>
          <w:rFonts w:ascii="Garamond" w:hAnsi="Garamond"/>
        </w:rPr>
        <w:t xml:space="preserve">‘Policy for determining Material Subsidiaries’. </w:t>
      </w:r>
    </w:p>
    <w:p w:rsidR="00F26174" w:rsidRDefault="00F26174" w:rsidP="00F26174">
      <w:pPr>
        <w:rPr>
          <w:rFonts w:ascii="Garamond" w:hAnsi="Garamond"/>
          <w:b/>
        </w:rPr>
      </w:pPr>
    </w:p>
    <w:p w:rsidR="00F26174" w:rsidRDefault="00F26174" w:rsidP="00F26174">
      <w:pPr>
        <w:rPr>
          <w:rFonts w:ascii="Garamond" w:hAnsi="Garamond"/>
          <w:b/>
        </w:rPr>
      </w:pPr>
    </w:p>
    <w:p w:rsidR="00F26174" w:rsidRPr="005E1CC9" w:rsidRDefault="00F26174" w:rsidP="00F26174">
      <w:pPr>
        <w:rPr>
          <w:rFonts w:ascii="Garamond" w:hAnsi="Garamond"/>
          <w:b/>
        </w:rPr>
      </w:pPr>
      <w:r w:rsidRPr="005E1CC9">
        <w:rPr>
          <w:rFonts w:ascii="Garamond" w:hAnsi="Garamond"/>
          <w:b/>
        </w:rPr>
        <w:t>OBJECTIVE:</w:t>
      </w:r>
    </w:p>
    <w:p w:rsidR="00F26174" w:rsidRDefault="00F26174" w:rsidP="00F26174">
      <w:pPr>
        <w:jc w:val="both"/>
        <w:rPr>
          <w:rFonts w:ascii="Garamond" w:hAnsi="Garamond"/>
        </w:rPr>
      </w:pPr>
    </w:p>
    <w:p w:rsidR="00F26174" w:rsidRPr="005E1CC9" w:rsidRDefault="00F26174" w:rsidP="00F26174">
      <w:pPr>
        <w:jc w:val="both"/>
        <w:rPr>
          <w:rFonts w:ascii="Garamond" w:hAnsi="Garamond"/>
        </w:rPr>
      </w:pPr>
      <w:r w:rsidRPr="005E1CC9">
        <w:rPr>
          <w:rFonts w:ascii="Garamond" w:hAnsi="Garamond"/>
        </w:rPr>
        <w:t>This Policy is framed in accordance with the requirement</w:t>
      </w:r>
      <w:r>
        <w:rPr>
          <w:rFonts w:ascii="Garamond" w:hAnsi="Garamond"/>
        </w:rPr>
        <w:t>s</w:t>
      </w:r>
      <w:r w:rsidRPr="005E1CC9">
        <w:rPr>
          <w:rFonts w:ascii="Garamond" w:hAnsi="Garamond"/>
        </w:rPr>
        <w:t xml:space="preserve"> of </w:t>
      </w:r>
      <w:r>
        <w:rPr>
          <w:rFonts w:ascii="Garamond" w:hAnsi="Garamond"/>
        </w:rPr>
        <w:t xml:space="preserve">Regulation 16(1)(c) </w:t>
      </w:r>
      <w:r w:rsidRPr="005E1CC9">
        <w:rPr>
          <w:rFonts w:ascii="Garamond" w:hAnsi="Garamond"/>
        </w:rPr>
        <w:t xml:space="preserve">of the </w:t>
      </w:r>
      <w:r>
        <w:rPr>
          <w:rFonts w:ascii="Garamond" w:hAnsi="Garamond"/>
        </w:rPr>
        <w:t xml:space="preserve">Securities and Exchange Board of India (Listing Obligations and Disclosure Requirements) Regulations, 2015 (“Listing Regulations”) for the purpose of determination of Material Subsidiaries </w:t>
      </w:r>
      <w:r w:rsidRPr="005E1CC9">
        <w:rPr>
          <w:rFonts w:ascii="Garamond" w:hAnsi="Garamond"/>
        </w:rPr>
        <w:t xml:space="preserve">and </w:t>
      </w:r>
      <w:r>
        <w:rPr>
          <w:rFonts w:ascii="Garamond" w:hAnsi="Garamond"/>
        </w:rPr>
        <w:t xml:space="preserve">their governance. </w:t>
      </w:r>
      <w:r w:rsidRPr="005E1CC9">
        <w:rPr>
          <w:rFonts w:ascii="Garamond" w:hAnsi="Garamond"/>
        </w:rPr>
        <w:t xml:space="preserve">The Company is required to disclose the policy on its website and a web link thereto shall be provided in the Annual Report. </w:t>
      </w:r>
    </w:p>
    <w:p w:rsidR="00F26174" w:rsidRDefault="00F26174" w:rsidP="00F26174">
      <w:pPr>
        <w:rPr>
          <w:rFonts w:ascii="Garamond" w:hAnsi="Garamond"/>
          <w:b/>
        </w:rPr>
      </w:pPr>
    </w:p>
    <w:p w:rsidR="00F26174" w:rsidRPr="005E1CC9" w:rsidRDefault="00F26174" w:rsidP="00F26174">
      <w:pPr>
        <w:rPr>
          <w:rFonts w:ascii="Garamond" w:hAnsi="Garamond"/>
          <w:b/>
        </w:rPr>
      </w:pPr>
      <w:r w:rsidRPr="005E1CC9">
        <w:rPr>
          <w:rFonts w:ascii="Garamond" w:hAnsi="Garamond"/>
          <w:b/>
        </w:rPr>
        <w:t xml:space="preserve">DEFINITIONS: </w:t>
      </w:r>
    </w:p>
    <w:p w:rsidR="00F26174" w:rsidRDefault="00F26174" w:rsidP="00F26174">
      <w:pPr>
        <w:numPr>
          <w:ilvl w:val="0"/>
          <w:numId w:val="2"/>
        </w:numPr>
        <w:spacing w:after="200"/>
        <w:ind w:left="567" w:hanging="567"/>
        <w:rPr>
          <w:rFonts w:ascii="Garamond" w:hAnsi="Garamond"/>
        </w:rPr>
      </w:pPr>
      <w:r w:rsidRPr="005E1CC9">
        <w:rPr>
          <w:rFonts w:ascii="Garamond" w:hAnsi="Garamond"/>
        </w:rPr>
        <w:t xml:space="preserve">“Board” means the Board of Directors of </w:t>
      </w:r>
      <w:proofErr w:type="gramStart"/>
      <w:r>
        <w:rPr>
          <w:rFonts w:ascii="Garamond" w:hAnsi="Garamond"/>
        </w:rPr>
        <w:t>The</w:t>
      </w:r>
      <w:proofErr w:type="gramEnd"/>
      <w:r>
        <w:rPr>
          <w:rFonts w:ascii="Garamond" w:hAnsi="Garamond"/>
        </w:rPr>
        <w:t xml:space="preserve"> Indian Hotels Company Limited.</w:t>
      </w:r>
    </w:p>
    <w:p w:rsidR="00F26174" w:rsidRDefault="00F26174" w:rsidP="00F26174">
      <w:pPr>
        <w:numPr>
          <w:ilvl w:val="0"/>
          <w:numId w:val="2"/>
        </w:numPr>
        <w:spacing w:after="200"/>
        <w:ind w:left="567" w:hanging="567"/>
        <w:rPr>
          <w:rFonts w:ascii="Garamond" w:hAnsi="Garamond"/>
        </w:rPr>
      </w:pPr>
      <w:r w:rsidRPr="005E1CC9">
        <w:rPr>
          <w:rFonts w:ascii="Garamond" w:hAnsi="Garamond"/>
        </w:rPr>
        <w:t xml:space="preserve">“Company” means </w:t>
      </w:r>
      <w:r>
        <w:rPr>
          <w:rFonts w:ascii="Garamond" w:hAnsi="Garamond"/>
        </w:rPr>
        <w:t>The Indian Hotels Company Limited.</w:t>
      </w:r>
    </w:p>
    <w:p w:rsidR="00F26174" w:rsidRDefault="00F26174" w:rsidP="00F26174">
      <w:pPr>
        <w:numPr>
          <w:ilvl w:val="0"/>
          <w:numId w:val="2"/>
        </w:numPr>
        <w:spacing w:after="200"/>
        <w:ind w:left="567" w:hanging="567"/>
        <w:jc w:val="both"/>
        <w:rPr>
          <w:rFonts w:ascii="Garamond" w:hAnsi="Garamond"/>
        </w:rPr>
      </w:pPr>
      <w:r>
        <w:rPr>
          <w:rFonts w:ascii="Garamond" w:hAnsi="Garamond"/>
        </w:rPr>
        <w:t>“Control”</w:t>
      </w:r>
      <w:r w:rsidRPr="00122E2F">
        <w:rPr>
          <w:rFonts w:ascii="Garamond" w:hAnsi="Garamond"/>
        </w:rPr>
        <w:t xml:space="preserve"> shall </w:t>
      </w:r>
      <w:r>
        <w:rPr>
          <w:rFonts w:ascii="Garamond" w:hAnsi="Garamond"/>
        </w:rPr>
        <w:t>have the same meaning as assigned to it under the Securities and Exchange Board of India (Substantial Acquisition of Shares and Takeovers) Regulations, 2011</w:t>
      </w:r>
      <w:r w:rsidRPr="00122E2F">
        <w:rPr>
          <w:rFonts w:ascii="Garamond" w:hAnsi="Garamond"/>
        </w:rPr>
        <w:t>.</w:t>
      </w:r>
    </w:p>
    <w:p w:rsidR="00F26174" w:rsidRDefault="00F26174" w:rsidP="00F26174">
      <w:pPr>
        <w:numPr>
          <w:ilvl w:val="0"/>
          <w:numId w:val="2"/>
        </w:numPr>
        <w:spacing w:after="200"/>
        <w:ind w:left="567" w:hanging="567"/>
        <w:rPr>
          <w:rFonts w:ascii="Garamond" w:hAnsi="Garamond"/>
        </w:rPr>
      </w:pPr>
      <w:r w:rsidRPr="005E1CC9">
        <w:rPr>
          <w:rFonts w:ascii="Garamond" w:hAnsi="Garamond"/>
        </w:rPr>
        <w:t>“Policy” means this Policy, as amended from t</w:t>
      </w:r>
      <w:r>
        <w:rPr>
          <w:rFonts w:ascii="Garamond" w:hAnsi="Garamond"/>
        </w:rPr>
        <w:t>ime to time.</w:t>
      </w:r>
    </w:p>
    <w:p w:rsidR="00F26174" w:rsidRDefault="00F26174" w:rsidP="00F26174">
      <w:pPr>
        <w:numPr>
          <w:ilvl w:val="0"/>
          <w:numId w:val="2"/>
        </w:numPr>
        <w:spacing w:after="200"/>
        <w:ind w:left="567" w:hanging="567"/>
        <w:jc w:val="both"/>
        <w:rPr>
          <w:rFonts w:ascii="Garamond" w:hAnsi="Garamond"/>
        </w:rPr>
      </w:pPr>
      <w:r>
        <w:rPr>
          <w:rFonts w:ascii="Garamond" w:hAnsi="Garamond"/>
        </w:rPr>
        <w:t>“Material S</w:t>
      </w:r>
      <w:r w:rsidRPr="005E1CC9">
        <w:rPr>
          <w:rFonts w:ascii="Garamond" w:hAnsi="Garamond"/>
        </w:rPr>
        <w:t>ubsidiary</w:t>
      </w:r>
      <w:r>
        <w:rPr>
          <w:rFonts w:ascii="Garamond" w:hAnsi="Garamond"/>
        </w:rPr>
        <w:t xml:space="preserve">” </w:t>
      </w:r>
      <w:r w:rsidRPr="005E1CC9">
        <w:rPr>
          <w:rFonts w:ascii="Garamond" w:hAnsi="Garamond"/>
        </w:rPr>
        <w:t>shall</w:t>
      </w:r>
      <w:r>
        <w:rPr>
          <w:rFonts w:ascii="Garamond" w:hAnsi="Garamond"/>
        </w:rPr>
        <w:t xml:space="preserve"> mean</w:t>
      </w:r>
      <w:r w:rsidRPr="005E1CC9">
        <w:rPr>
          <w:rFonts w:ascii="Garamond" w:hAnsi="Garamond"/>
        </w:rPr>
        <w:t xml:space="preserve"> </w:t>
      </w:r>
      <w:r w:rsidRPr="00AE704C">
        <w:rPr>
          <w:rFonts w:ascii="Garamond" w:hAnsi="Garamond"/>
        </w:rPr>
        <w:t>a subsidiary, whose income or net worth exceeds twenty percent of the consolidated income or net worth respectively, of the listed entity and its subsidiaries in the immediately preceding accounting</w:t>
      </w:r>
      <w:r>
        <w:rPr>
          <w:rFonts w:ascii="Garamond" w:hAnsi="Garamond"/>
        </w:rPr>
        <w:t xml:space="preserve"> </w:t>
      </w:r>
      <w:r w:rsidRPr="00AE704C">
        <w:rPr>
          <w:rFonts w:ascii="Garamond" w:hAnsi="Garamond"/>
        </w:rPr>
        <w:t>year</w:t>
      </w:r>
    </w:p>
    <w:p w:rsidR="00F26174" w:rsidRDefault="00F26174" w:rsidP="00F26174">
      <w:pPr>
        <w:numPr>
          <w:ilvl w:val="0"/>
          <w:numId w:val="2"/>
        </w:numPr>
        <w:autoSpaceDE w:val="0"/>
        <w:autoSpaceDN w:val="0"/>
        <w:adjustRightInd w:val="0"/>
        <w:ind w:left="567" w:hanging="567"/>
        <w:jc w:val="both"/>
        <w:rPr>
          <w:rFonts w:ascii="Garamond" w:hAnsi="Garamond"/>
          <w:szCs w:val="23"/>
          <w:lang w:eastAsia="en-IN"/>
        </w:rPr>
      </w:pPr>
      <w:r>
        <w:rPr>
          <w:rFonts w:ascii="Garamond" w:hAnsi="Garamond"/>
          <w:szCs w:val="23"/>
          <w:lang w:eastAsia="en-IN"/>
        </w:rPr>
        <w:t>“Significant T</w:t>
      </w:r>
      <w:r w:rsidRPr="00AE704C">
        <w:rPr>
          <w:rFonts w:ascii="Garamond" w:hAnsi="Garamond"/>
          <w:szCs w:val="23"/>
          <w:lang w:eastAsia="en-IN"/>
        </w:rPr>
        <w:t xml:space="preserve">ransaction or </w:t>
      </w:r>
      <w:r>
        <w:rPr>
          <w:rFonts w:ascii="Garamond" w:hAnsi="Garamond"/>
          <w:szCs w:val="23"/>
          <w:lang w:eastAsia="en-IN"/>
        </w:rPr>
        <w:t>A</w:t>
      </w:r>
      <w:r w:rsidRPr="00AE704C">
        <w:rPr>
          <w:rFonts w:ascii="Garamond" w:hAnsi="Garamond"/>
          <w:szCs w:val="23"/>
          <w:lang w:eastAsia="en-IN"/>
        </w:rPr>
        <w:t>rrangement” shall mean any individual transaction or arrangement that exceeds or is likely to exceed ten percent of the total revenues or total expenses or total assets or total liabilities, as the case may be, of the unlisted material subsidiary for the immediately preceding accounting year.</w:t>
      </w:r>
    </w:p>
    <w:p w:rsidR="00F26174" w:rsidRDefault="00F26174" w:rsidP="00F26174">
      <w:pPr>
        <w:autoSpaceDE w:val="0"/>
        <w:autoSpaceDN w:val="0"/>
        <w:adjustRightInd w:val="0"/>
        <w:ind w:left="567"/>
        <w:jc w:val="both"/>
        <w:rPr>
          <w:rFonts w:ascii="Garamond" w:hAnsi="Garamond"/>
          <w:szCs w:val="23"/>
          <w:lang w:eastAsia="en-IN"/>
        </w:rPr>
      </w:pPr>
    </w:p>
    <w:p w:rsidR="00F26174" w:rsidRPr="00AE704C" w:rsidRDefault="00F26174" w:rsidP="00F26174">
      <w:pPr>
        <w:numPr>
          <w:ilvl w:val="0"/>
          <w:numId w:val="2"/>
        </w:numPr>
        <w:autoSpaceDE w:val="0"/>
        <w:autoSpaceDN w:val="0"/>
        <w:adjustRightInd w:val="0"/>
        <w:ind w:left="567" w:hanging="567"/>
        <w:jc w:val="both"/>
        <w:rPr>
          <w:rFonts w:ascii="Garamond" w:hAnsi="Garamond"/>
          <w:szCs w:val="23"/>
          <w:lang w:eastAsia="en-IN"/>
        </w:rPr>
      </w:pPr>
      <w:r>
        <w:rPr>
          <w:rFonts w:ascii="Garamond" w:hAnsi="Garamond"/>
        </w:rPr>
        <w:t>“S</w:t>
      </w:r>
      <w:r w:rsidRPr="00AE704C">
        <w:rPr>
          <w:rFonts w:ascii="Garamond" w:hAnsi="Garamond"/>
        </w:rPr>
        <w:t>ubsidiary” means</w:t>
      </w:r>
      <w:r>
        <w:rPr>
          <w:rFonts w:ascii="Garamond" w:hAnsi="Garamond"/>
        </w:rPr>
        <w:t xml:space="preserve"> a subsidiary as defined under S</w:t>
      </w:r>
      <w:r w:rsidRPr="00AE704C">
        <w:rPr>
          <w:rFonts w:ascii="Garamond" w:hAnsi="Garamond"/>
        </w:rPr>
        <w:t>ub-section</w:t>
      </w:r>
      <w:r>
        <w:rPr>
          <w:rFonts w:ascii="Garamond" w:hAnsi="Garamond"/>
        </w:rPr>
        <w:t xml:space="preserve"> (87) of S</w:t>
      </w:r>
      <w:r w:rsidRPr="00AE704C">
        <w:rPr>
          <w:rFonts w:ascii="Garamond" w:hAnsi="Garamond"/>
        </w:rPr>
        <w:t>ection 2</w:t>
      </w:r>
      <w:r>
        <w:rPr>
          <w:rFonts w:ascii="Garamond" w:hAnsi="Garamond"/>
          <w:szCs w:val="23"/>
          <w:lang w:eastAsia="en-IN"/>
        </w:rPr>
        <w:t xml:space="preserve"> </w:t>
      </w:r>
      <w:r w:rsidRPr="00AE704C">
        <w:rPr>
          <w:rFonts w:ascii="Garamond" w:hAnsi="Garamond"/>
        </w:rPr>
        <w:t>of the Companies Act, 2013</w:t>
      </w:r>
    </w:p>
    <w:p w:rsidR="00F26174" w:rsidRDefault="00F26174" w:rsidP="00F26174">
      <w:pPr>
        <w:rPr>
          <w:rFonts w:ascii="Garamond" w:hAnsi="Garamond"/>
        </w:rPr>
      </w:pPr>
    </w:p>
    <w:p w:rsidR="00F26174" w:rsidRPr="005E1CC9" w:rsidRDefault="00F26174" w:rsidP="00F26174">
      <w:pPr>
        <w:jc w:val="both"/>
        <w:rPr>
          <w:rFonts w:ascii="Garamond" w:hAnsi="Garamond"/>
        </w:rPr>
      </w:pPr>
      <w:r>
        <w:rPr>
          <w:rFonts w:ascii="Garamond" w:hAnsi="Garamond"/>
        </w:rPr>
        <w:t>Any words used in this P</w:t>
      </w:r>
      <w:r w:rsidRPr="005E1CC9">
        <w:rPr>
          <w:rFonts w:ascii="Garamond" w:hAnsi="Garamond"/>
        </w:rPr>
        <w:t xml:space="preserve">olicy but not defined herein shall have the same meaning ascribed to it in the Companies Act, 2013 or Rules made thereunder, </w:t>
      </w:r>
      <w:r>
        <w:rPr>
          <w:rFonts w:ascii="Garamond" w:hAnsi="Garamond"/>
        </w:rPr>
        <w:t>the Listing</w:t>
      </w:r>
      <w:r w:rsidRPr="005E1CC9">
        <w:rPr>
          <w:rFonts w:ascii="Garamond" w:hAnsi="Garamond"/>
        </w:rPr>
        <w:t xml:space="preserve"> Regula</w:t>
      </w:r>
      <w:r>
        <w:rPr>
          <w:rFonts w:ascii="Garamond" w:hAnsi="Garamond"/>
        </w:rPr>
        <w:t xml:space="preserve">tions </w:t>
      </w:r>
      <w:r w:rsidRPr="005E1CC9">
        <w:rPr>
          <w:rFonts w:ascii="Garamond" w:hAnsi="Garamond"/>
        </w:rPr>
        <w:t xml:space="preserve">or any other relevant legislation / law applicable to the Company. </w:t>
      </w:r>
    </w:p>
    <w:p w:rsidR="00F26174" w:rsidRDefault="00F26174" w:rsidP="00F26174">
      <w:pPr>
        <w:ind w:left="720" w:hanging="720"/>
        <w:jc w:val="both"/>
        <w:rPr>
          <w:rFonts w:ascii="Garamond" w:hAnsi="Garamond"/>
          <w:sz w:val="26"/>
        </w:rPr>
      </w:pPr>
    </w:p>
    <w:p w:rsidR="00F26174" w:rsidRDefault="00F26174" w:rsidP="00F26174">
      <w:pPr>
        <w:rPr>
          <w:rFonts w:ascii="Garamond" w:hAnsi="Garamond"/>
          <w:b/>
        </w:rPr>
      </w:pPr>
      <w:r>
        <w:rPr>
          <w:rFonts w:ascii="Garamond" w:hAnsi="Garamond"/>
          <w:b/>
        </w:rPr>
        <w:t>COMPLIANCES</w:t>
      </w:r>
      <w:r w:rsidRPr="005E1CC9">
        <w:rPr>
          <w:rFonts w:ascii="Garamond" w:hAnsi="Garamond"/>
          <w:b/>
        </w:rPr>
        <w:t xml:space="preserve">: </w:t>
      </w:r>
    </w:p>
    <w:p w:rsidR="00F26174" w:rsidRPr="005E1CC9" w:rsidRDefault="00F26174" w:rsidP="00F26174">
      <w:pPr>
        <w:rPr>
          <w:rFonts w:ascii="Garamond" w:hAnsi="Garamond"/>
          <w:b/>
        </w:rPr>
      </w:pPr>
    </w:p>
    <w:p w:rsidR="00F26174" w:rsidRDefault="00F26174" w:rsidP="00F26174">
      <w:pPr>
        <w:numPr>
          <w:ilvl w:val="0"/>
          <w:numId w:val="1"/>
        </w:numPr>
        <w:tabs>
          <w:tab w:val="clear" w:pos="720"/>
        </w:tabs>
        <w:autoSpaceDE w:val="0"/>
        <w:autoSpaceDN w:val="0"/>
        <w:adjustRightInd w:val="0"/>
        <w:ind w:left="567" w:hanging="567"/>
        <w:jc w:val="both"/>
        <w:rPr>
          <w:rFonts w:ascii="Garamond" w:hAnsi="Garamond" w:cs="Tahoma"/>
          <w:lang w:eastAsia="en-IN"/>
        </w:rPr>
      </w:pPr>
      <w:r>
        <w:rPr>
          <w:rFonts w:ascii="Garamond" w:hAnsi="Garamond" w:cs="Tahoma"/>
          <w:lang w:eastAsia="en-IN"/>
        </w:rPr>
        <w:t>At least one Independent D</w:t>
      </w:r>
      <w:r w:rsidRPr="003D3AC6">
        <w:rPr>
          <w:rFonts w:ascii="Garamond" w:hAnsi="Garamond" w:cs="Tahoma"/>
          <w:lang w:eastAsia="en-IN"/>
        </w:rPr>
        <w:t xml:space="preserve">irector on the Board of Directors of the </w:t>
      </w:r>
      <w:r>
        <w:rPr>
          <w:rFonts w:ascii="Garamond" w:hAnsi="Garamond" w:cs="Tahoma"/>
          <w:lang w:eastAsia="en-IN"/>
        </w:rPr>
        <w:t>Company shall be a D</w:t>
      </w:r>
      <w:r w:rsidRPr="003D3AC6">
        <w:rPr>
          <w:rFonts w:ascii="Garamond" w:hAnsi="Garamond" w:cs="Tahoma"/>
          <w:lang w:eastAsia="en-IN"/>
        </w:rPr>
        <w:t xml:space="preserve">irector on the Board of Directors of </w:t>
      </w:r>
      <w:r>
        <w:rPr>
          <w:rFonts w:ascii="Garamond" w:hAnsi="Garamond" w:cs="Tahoma"/>
          <w:lang w:eastAsia="en-IN"/>
        </w:rPr>
        <w:t>its</w:t>
      </w:r>
      <w:r w:rsidRPr="003D3AC6">
        <w:rPr>
          <w:rFonts w:ascii="Garamond" w:hAnsi="Garamond" w:cs="Tahoma"/>
          <w:lang w:eastAsia="en-IN"/>
        </w:rPr>
        <w:t xml:space="preserve"> </w:t>
      </w:r>
      <w:r>
        <w:rPr>
          <w:rFonts w:ascii="Garamond" w:hAnsi="Garamond" w:cs="Tahoma"/>
          <w:lang w:eastAsia="en-IN"/>
        </w:rPr>
        <w:t xml:space="preserve">unlisted material </w:t>
      </w:r>
      <w:r w:rsidRPr="003D3AC6">
        <w:rPr>
          <w:rFonts w:ascii="Garamond" w:hAnsi="Garamond" w:cs="Tahoma"/>
          <w:lang w:eastAsia="en-IN"/>
        </w:rPr>
        <w:t>subsidiary</w:t>
      </w:r>
      <w:r>
        <w:rPr>
          <w:rFonts w:ascii="Garamond" w:hAnsi="Garamond" w:cs="Tahoma"/>
          <w:lang w:eastAsia="en-IN"/>
        </w:rPr>
        <w:t>, incorporated in India.</w:t>
      </w:r>
    </w:p>
    <w:p w:rsidR="00F26174" w:rsidRDefault="00F26174" w:rsidP="00F26174">
      <w:pPr>
        <w:autoSpaceDE w:val="0"/>
        <w:autoSpaceDN w:val="0"/>
        <w:adjustRightInd w:val="0"/>
        <w:ind w:left="567"/>
        <w:jc w:val="both"/>
        <w:rPr>
          <w:rFonts w:ascii="Garamond" w:hAnsi="Garamond" w:cs="Tahoma"/>
          <w:lang w:eastAsia="en-IN"/>
        </w:rPr>
      </w:pPr>
    </w:p>
    <w:p w:rsidR="00F26174" w:rsidRDefault="00F26174" w:rsidP="00F26174">
      <w:pPr>
        <w:numPr>
          <w:ilvl w:val="0"/>
          <w:numId w:val="1"/>
        </w:numPr>
        <w:tabs>
          <w:tab w:val="clear" w:pos="720"/>
        </w:tabs>
        <w:autoSpaceDE w:val="0"/>
        <w:autoSpaceDN w:val="0"/>
        <w:adjustRightInd w:val="0"/>
        <w:ind w:left="567" w:hanging="567"/>
        <w:jc w:val="both"/>
        <w:rPr>
          <w:rFonts w:ascii="Garamond" w:hAnsi="Garamond" w:cs="Tahoma"/>
          <w:lang w:eastAsia="en-IN"/>
        </w:rPr>
      </w:pPr>
      <w:r w:rsidRPr="003D3AC6">
        <w:rPr>
          <w:rFonts w:ascii="Garamond" w:hAnsi="Garamond" w:cs="Tahoma"/>
          <w:lang w:eastAsia="en-IN"/>
        </w:rPr>
        <w:lastRenderedPageBreak/>
        <w:t xml:space="preserve">The Audit Committee of the </w:t>
      </w:r>
      <w:r>
        <w:rPr>
          <w:rFonts w:ascii="Garamond" w:hAnsi="Garamond" w:cs="Tahoma"/>
          <w:lang w:eastAsia="en-IN"/>
        </w:rPr>
        <w:t>C</w:t>
      </w:r>
      <w:r w:rsidRPr="003D3AC6">
        <w:rPr>
          <w:rFonts w:ascii="Garamond" w:hAnsi="Garamond" w:cs="Tahoma"/>
          <w:lang w:eastAsia="en-IN"/>
        </w:rPr>
        <w:t>ompany shall also review the financial statements, in particular, the investments made by the unlisted subsidiary company.</w:t>
      </w:r>
    </w:p>
    <w:p w:rsidR="00F26174" w:rsidRDefault="00F26174" w:rsidP="00F26174">
      <w:pPr>
        <w:autoSpaceDE w:val="0"/>
        <w:autoSpaceDN w:val="0"/>
        <w:adjustRightInd w:val="0"/>
        <w:ind w:left="567" w:hanging="567"/>
        <w:jc w:val="both"/>
        <w:rPr>
          <w:rFonts w:ascii="Garamond" w:hAnsi="Garamond" w:cs="Tahoma"/>
          <w:lang w:eastAsia="en-IN"/>
        </w:rPr>
      </w:pPr>
    </w:p>
    <w:p w:rsidR="00F26174" w:rsidRDefault="00F26174" w:rsidP="00F26174">
      <w:pPr>
        <w:numPr>
          <w:ilvl w:val="0"/>
          <w:numId w:val="1"/>
        </w:numPr>
        <w:tabs>
          <w:tab w:val="clear" w:pos="720"/>
        </w:tabs>
        <w:autoSpaceDE w:val="0"/>
        <w:autoSpaceDN w:val="0"/>
        <w:adjustRightInd w:val="0"/>
        <w:ind w:left="567" w:hanging="567"/>
        <w:jc w:val="both"/>
        <w:rPr>
          <w:rFonts w:ascii="Garamond" w:hAnsi="Garamond" w:cs="Tahoma"/>
          <w:lang w:eastAsia="en-IN"/>
        </w:rPr>
      </w:pPr>
      <w:r w:rsidRPr="003D3AC6">
        <w:rPr>
          <w:rFonts w:ascii="Garamond" w:hAnsi="Garamond" w:cs="Tahoma"/>
          <w:lang w:eastAsia="en-IN"/>
        </w:rPr>
        <w:t xml:space="preserve">The minutes of the Board meetings of the unlisted subsidiary company shall be placed at the Board meeting of the </w:t>
      </w:r>
      <w:r>
        <w:rPr>
          <w:rFonts w:ascii="Garamond" w:hAnsi="Garamond" w:cs="Tahoma"/>
          <w:lang w:eastAsia="en-IN"/>
        </w:rPr>
        <w:t>Company.</w:t>
      </w:r>
    </w:p>
    <w:p w:rsidR="00F26174" w:rsidRPr="001E1B56" w:rsidRDefault="00F26174" w:rsidP="00F26174">
      <w:pPr>
        <w:autoSpaceDE w:val="0"/>
        <w:autoSpaceDN w:val="0"/>
        <w:adjustRightInd w:val="0"/>
        <w:jc w:val="both"/>
        <w:rPr>
          <w:rFonts w:ascii="Garamond" w:hAnsi="Garamond" w:cs="Tahoma"/>
          <w:lang w:eastAsia="en-IN"/>
        </w:rPr>
      </w:pPr>
    </w:p>
    <w:p w:rsidR="00F26174" w:rsidRDefault="00F26174" w:rsidP="00F26174">
      <w:pPr>
        <w:numPr>
          <w:ilvl w:val="0"/>
          <w:numId w:val="1"/>
        </w:numPr>
        <w:tabs>
          <w:tab w:val="clear" w:pos="720"/>
        </w:tabs>
        <w:autoSpaceDE w:val="0"/>
        <w:autoSpaceDN w:val="0"/>
        <w:adjustRightInd w:val="0"/>
        <w:ind w:left="567" w:hanging="567"/>
        <w:jc w:val="both"/>
        <w:rPr>
          <w:rFonts w:ascii="Garamond" w:hAnsi="Garamond" w:cs="Tahoma"/>
          <w:lang w:eastAsia="en-IN"/>
        </w:rPr>
      </w:pPr>
      <w:r w:rsidRPr="003D3AC6">
        <w:rPr>
          <w:rFonts w:ascii="Garamond" w:hAnsi="Garamond" w:cs="Tahoma"/>
          <w:lang w:eastAsia="en-IN"/>
        </w:rPr>
        <w:t xml:space="preserve">The management </w:t>
      </w:r>
      <w:r>
        <w:rPr>
          <w:rFonts w:ascii="Garamond" w:hAnsi="Garamond" w:cs="Tahoma"/>
          <w:lang w:eastAsia="en-IN"/>
        </w:rPr>
        <w:t xml:space="preserve">of the unlisted subsidiary </w:t>
      </w:r>
      <w:r w:rsidRPr="003D3AC6">
        <w:rPr>
          <w:rFonts w:ascii="Garamond" w:hAnsi="Garamond" w:cs="Tahoma"/>
          <w:lang w:eastAsia="en-IN"/>
        </w:rPr>
        <w:t xml:space="preserve">should periodically bring to the </w:t>
      </w:r>
      <w:r>
        <w:rPr>
          <w:rFonts w:ascii="Garamond" w:hAnsi="Garamond" w:cs="Tahoma"/>
          <w:lang w:eastAsia="en-IN"/>
        </w:rPr>
        <w:t xml:space="preserve">notice </w:t>
      </w:r>
      <w:r w:rsidRPr="003D3AC6">
        <w:rPr>
          <w:rFonts w:ascii="Garamond" w:hAnsi="Garamond" w:cs="Tahoma"/>
          <w:lang w:eastAsia="en-IN"/>
        </w:rPr>
        <w:t>of the Board, a statement of all significant transactions and arrangements entered into by the unlisted subsidiary company.</w:t>
      </w:r>
    </w:p>
    <w:p w:rsidR="00F26174" w:rsidRDefault="00F26174" w:rsidP="00F26174">
      <w:pPr>
        <w:autoSpaceDE w:val="0"/>
        <w:autoSpaceDN w:val="0"/>
        <w:adjustRightInd w:val="0"/>
        <w:jc w:val="both"/>
        <w:rPr>
          <w:rFonts w:ascii="Garamond" w:hAnsi="Garamond" w:cs="Tahoma"/>
          <w:lang w:eastAsia="en-IN"/>
        </w:rPr>
      </w:pPr>
      <w:r>
        <w:rPr>
          <w:rFonts w:ascii="Garamond" w:hAnsi="Garamond" w:cs="Tahoma"/>
          <w:lang w:eastAsia="en-IN"/>
        </w:rPr>
        <w:t xml:space="preserve"> </w:t>
      </w:r>
    </w:p>
    <w:p w:rsidR="00F26174" w:rsidRPr="00654455" w:rsidRDefault="00F26174" w:rsidP="00F26174">
      <w:pPr>
        <w:numPr>
          <w:ilvl w:val="0"/>
          <w:numId w:val="1"/>
        </w:numPr>
        <w:tabs>
          <w:tab w:val="clear" w:pos="720"/>
        </w:tabs>
        <w:autoSpaceDE w:val="0"/>
        <w:autoSpaceDN w:val="0"/>
        <w:adjustRightInd w:val="0"/>
        <w:ind w:left="567" w:hanging="567"/>
        <w:jc w:val="both"/>
        <w:rPr>
          <w:rFonts w:ascii="Garamond" w:hAnsi="Garamond"/>
        </w:rPr>
      </w:pPr>
      <w:r>
        <w:rPr>
          <w:rFonts w:ascii="Garamond" w:hAnsi="Garamond" w:cs="Tahoma"/>
          <w:lang w:eastAsia="en-IN"/>
        </w:rPr>
        <w:t>The C</w:t>
      </w:r>
      <w:r w:rsidRPr="003D3AC6">
        <w:rPr>
          <w:rFonts w:ascii="Garamond" w:hAnsi="Garamond" w:cs="Tahoma"/>
          <w:lang w:eastAsia="en-IN"/>
        </w:rPr>
        <w:t xml:space="preserve">ompany shall </w:t>
      </w:r>
      <w:r>
        <w:rPr>
          <w:rFonts w:ascii="Garamond" w:hAnsi="Garamond" w:cs="Tahoma"/>
          <w:lang w:eastAsia="en-IN"/>
        </w:rPr>
        <w:t xml:space="preserve">not </w:t>
      </w:r>
      <w:r w:rsidRPr="003D3AC6">
        <w:rPr>
          <w:rFonts w:ascii="Garamond" w:hAnsi="Garamond" w:cs="Tahoma"/>
          <w:lang w:eastAsia="en-IN"/>
        </w:rPr>
        <w:t>dispose of shares in its material subsidiary</w:t>
      </w:r>
      <w:r>
        <w:rPr>
          <w:rFonts w:ascii="Garamond" w:hAnsi="Garamond" w:cs="Tahoma"/>
          <w:lang w:eastAsia="en-IN"/>
        </w:rPr>
        <w:t xml:space="preserve"> resulting in reduction of its</w:t>
      </w:r>
      <w:r w:rsidRPr="003D3AC6">
        <w:rPr>
          <w:rFonts w:ascii="Garamond" w:hAnsi="Garamond" w:cs="Tahoma"/>
          <w:lang w:eastAsia="en-IN"/>
        </w:rPr>
        <w:t xml:space="preserve"> shareholding (either on its own or together with other subsidiaries) to less than </w:t>
      </w:r>
      <w:r>
        <w:rPr>
          <w:rFonts w:ascii="Garamond" w:hAnsi="Garamond" w:cs="Tahoma"/>
          <w:lang w:eastAsia="en-IN"/>
        </w:rPr>
        <w:t>fifty percent</w:t>
      </w:r>
      <w:r w:rsidRPr="003D3AC6">
        <w:rPr>
          <w:rFonts w:ascii="Garamond" w:hAnsi="Garamond" w:cs="Tahoma"/>
          <w:lang w:eastAsia="en-IN"/>
        </w:rPr>
        <w:t xml:space="preserve"> or cease the exercise of control over the subsidiary without passing a special re</w:t>
      </w:r>
      <w:r>
        <w:rPr>
          <w:rFonts w:ascii="Garamond" w:hAnsi="Garamond" w:cs="Tahoma"/>
          <w:lang w:eastAsia="en-IN"/>
        </w:rPr>
        <w:t xml:space="preserve">solution in its General </w:t>
      </w:r>
      <w:r w:rsidRPr="00654455">
        <w:rPr>
          <w:rFonts w:ascii="Garamond" w:hAnsi="Garamond"/>
        </w:rPr>
        <w:t>Meeting except in cases where such divestment is made under a scheme of arrangement duly approved by a Court/Tribunal.</w:t>
      </w:r>
    </w:p>
    <w:p w:rsidR="00F26174" w:rsidRDefault="00F26174" w:rsidP="00F26174">
      <w:pPr>
        <w:autoSpaceDE w:val="0"/>
        <w:autoSpaceDN w:val="0"/>
        <w:adjustRightInd w:val="0"/>
        <w:ind w:left="567" w:hanging="567"/>
        <w:jc w:val="both"/>
        <w:rPr>
          <w:rFonts w:ascii="Garamond" w:hAnsi="Garamond" w:cs="Tahoma"/>
          <w:lang w:eastAsia="en-IN"/>
        </w:rPr>
      </w:pPr>
    </w:p>
    <w:p w:rsidR="00F26174" w:rsidRDefault="00F26174" w:rsidP="00F26174">
      <w:pPr>
        <w:numPr>
          <w:ilvl w:val="0"/>
          <w:numId w:val="1"/>
        </w:numPr>
        <w:tabs>
          <w:tab w:val="clear" w:pos="720"/>
        </w:tabs>
        <w:autoSpaceDE w:val="0"/>
        <w:autoSpaceDN w:val="0"/>
        <w:adjustRightInd w:val="0"/>
        <w:ind w:left="567" w:hanging="567"/>
        <w:jc w:val="both"/>
        <w:rPr>
          <w:rFonts w:ascii="Garamond" w:hAnsi="Garamond"/>
          <w:lang w:eastAsia="en-IN"/>
        </w:rPr>
      </w:pPr>
      <w:r w:rsidRPr="00654455">
        <w:rPr>
          <w:rFonts w:ascii="Garamond" w:hAnsi="Garamond" w:cs="Tahoma"/>
          <w:lang w:eastAsia="en-IN"/>
        </w:rPr>
        <w:t>Selling, disposing and leasing of assets amounting to more than twenty percent of the assets of the material subsidiary on an aggregate basis during a financial year shall require prior approval of shareholders by way of special resolution</w:t>
      </w:r>
      <w:r w:rsidRPr="00654455">
        <w:rPr>
          <w:rFonts w:ascii="Garamond" w:hAnsi="Garamond"/>
          <w:lang w:eastAsia="en-IN"/>
        </w:rPr>
        <w:t>, unless the sale/disposal/lease is made under a scheme of arrangement duly approved by a Court/Tribunal.</w:t>
      </w:r>
    </w:p>
    <w:p w:rsidR="00F26174" w:rsidRPr="00654455" w:rsidRDefault="00F26174" w:rsidP="00F26174">
      <w:pPr>
        <w:pStyle w:val="ListParagraph"/>
        <w:jc w:val="both"/>
        <w:rPr>
          <w:rFonts w:ascii="Garamond" w:hAnsi="Garamond"/>
          <w:lang w:eastAsia="en-IN"/>
        </w:rPr>
      </w:pPr>
    </w:p>
    <w:p w:rsidR="00F26174" w:rsidRPr="00654455" w:rsidRDefault="00F26174" w:rsidP="00F26174">
      <w:pPr>
        <w:numPr>
          <w:ilvl w:val="0"/>
          <w:numId w:val="1"/>
        </w:numPr>
        <w:tabs>
          <w:tab w:val="clear" w:pos="720"/>
        </w:tabs>
        <w:autoSpaceDE w:val="0"/>
        <w:autoSpaceDN w:val="0"/>
        <w:adjustRightInd w:val="0"/>
        <w:ind w:left="567" w:hanging="567"/>
        <w:jc w:val="both"/>
        <w:rPr>
          <w:rFonts w:ascii="Garamond" w:hAnsi="Garamond"/>
          <w:szCs w:val="23"/>
          <w:lang w:eastAsia="en-IN"/>
        </w:rPr>
      </w:pPr>
      <w:r w:rsidRPr="00654455">
        <w:rPr>
          <w:rFonts w:ascii="Garamond" w:hAnsi="Garamond"/>
          <w:szCs w:val="23"/>
          <w:lang w:eastAsia="en-IN"/>
        </w:rPr>
        <w:t xml:space="preserve">Where </w:t>
      </w:r>
      <w:r>
        <w:rPr>
          <w:rFonts w:ascii="Garamond" w:hAnsi="Garamond"/>
          <w:szCs w:val="23"/>
          <w:lang w:eastAsia="en-IN"/>
        </w:rPr>
        <w:t xml:space="preserve">the Company </w:t>
      </w:r>
      <w:r w:rsidRPr="00654455">
        <w:rPr>
          <w:rFonts w:ascii="Garamond" w:hAnsi="Garamond"/>
          <w:szCs w:val="23"/>
          <w:lang w:eastAsia="en-IN"/>
        </w:rPr>
        <w:t xml:space="preserve">has a listed subsidiary, which is itself a holding company, the </w:t>
      </w:r>
      <w:r>
        <w:rPr>
          <w:rFonts w:ascii="Garamond" w:hAnsi="Garamond"/>
          <w:szCs w:val="23"/>
          <w:lang w:eastAsia="en-IN"/>
        </w:rPr>
        <w:t>provisions of this R</w:t>
      </w:r>
      <w:r w:rsidRPr="00654455">
        <w:rPr>
          <w:rFonts w:ascii="Garamond" w:hAnsi="Garamond"/>
          <w:szCs w:val="23"/>
          <w:lang w:eastAsia="en-IN"/>
        </w:rPr>
        <w:t>egulation shall apply to the listed subsidiary in so far as its subsidiaries are concerned.</w:t>
      </w:r>
    </w:p>
    <w:p w:rsidR="00F26174" w:rsidRPr="00654455" w:rsidRDefault="00F26174" w:rsidP="00F26174">
      <w:pPr>
        <w:autoSpaceDE w:val="0"/>
        <w:autoSpaceDN w:val="0"/>
        <w:adjustRightInd w:val="0"/>
        <w:ind w:left="567" w:hanging="567"/>
        <w:jc w:val="both"/>
        <w:rPr>
          <w:rFonts w:ascii="Garamond" w:hAnsi="Garamond" w:cs="Tahoma"/>
          <w:sz w:val="28"/>
          <w:lang w:eastAsia="en-IN"/>
        </w:rPr>
      </w:pPr>
    </w:p>
    <w:p w:rsidR="00F26174" w:rsidRDefault="00F26174" w:rsidP="00F26174">
      <w:pPr>
        <w:numPr>
          <w:ilvl w:val="0"/>
          <w:numId w:val="1"/>
        </w:numPr>
        <w:tabs>
          <w:tab w:val="clear" w:pos="720"/>
        </w:tabs>
        <w:autoSpaceDE w:val="0"/>
        <w:autoSpaceDN w:val="0"/>
        <w:adjustRightInd w:val="0"/>
        <w:ind w:left="567" w:hanging="567"/>
        <w:jc w:val="both"/>
        <w:rPr>
          <w:rFonts w:ascii="Garamond" w:hAnsi="Garamond" w:cs="Tahoma"/>
          <w:lang w:eastAsia="en-IN"/>
        </w:rPr>
      </w:pPr>
      <w:r>
        <w:rPr>
          <w:rFonts w:ascii="Garamond" w:hAnsi="Garamond" w:cs="Tahoma"/>
          <w:lang w:eastAsia="en-IN"/>
        </w:rPr>
        <w:t>Such other compliances as may be stipulated under the Listing Regulations from time to time.</w:t>
      </w:r>
    </w:p>
    <w:p w:rsidR="00F26174" w:rsidRDefault="00F26174" w:rsidP="00F26174">
      <w:pPr>
        <w:autoSpaceDE w:val="0"/>
        <w:autoSpaceDN w:val="0"/>
        <w:adjustRightInd w:val="0"/>
        <w:jc w:val="both"/>
        <w:rPr>
          <w:rFonts w:ascii="Garamond" w:hAnsi="Garamond"/>
        </w:rPr>
      </w:pPr>
    </w:p>
    <w:p w:rsidR="00F26174" w:rsidRPr="005E1CC9" w:rsidRDefault="00F26174" w:rsidP="00F26174">
      <w:pPr>
        <w:rPr>
          <w:rFonts w:ascii="Garamond" w:hAnsi="Garamond"/>
          <w:b/>
        </w:rPr>
      </w:pPr>
      <w:r w:rsidRPr="005E1CC9">
        <w:rPr>
          <w:rFonts w:ascii="Garamond" w:hAnsi="Garamond"/>
          <w:b/>
        </w:rPr>
        <w:t xml:space="preserve">AMENDMENTS: </w:t>
      </w:r>
    </w:p>
    <w:p w:rsidR="00C27E0F" w:rsidRDefault="00F26174" w:rsidP="00F26174">
      <w:r w:rsidRPr="005E1CC9">
        <w:rPr>
          <w:rFonts w:ascii="Garamond" w:hAnsi="Garamond"/>
        </w:rPr>
        <w:t>The Board shall have the power to amend any o</w:t>
      </w:r>
      <w:r>
        <w:rPr>
          <w:rFonts w:ascii="Garamond" w:hAnsi="Garamond"/>
        </w:rPr>
        <w:t>f the provisions of this Policy except in in case of any regulatory amendments where the Policy shall stand amended automatically by operation of law in line with and to the extent of such amendment.</w:t>
      </w:r>
    </w:p>
    <w:sectPr w:rsidR="00C27E0F" w:rsidSect="00F2617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C1B16"/>
    <w:multiLevelType w:val="hybridMultilevel"/>
    <w:tmpl w:val="C86C811E"/>
    <w:lvl w:ilvl="0" w:tplc="E65AC890">
      <w:start w:val="1"/>
      <w:numFmt w:val="lowerLetter"/>
      <w:lvlText w:val="%1."/>
      <w:lvlJc w:val="left"/>
      <w:pPr>
        <w:tabs>
          <w:tab w:val="num" w:pos="720"/>
        </w:tabs>
        <w:ind w:left="720" w:hanging="360"/>
      </w:pPr>
      <w:rPr>
        <w:rFonts w:cs="Times New Roman" w:hint="default"/>
      </w:rPr>
    </w:lvl>
    <w:lvl w:ilvl="1" w:tplc="40090019" w:tentative="1">
      <w:start w:val="1"/>
      <w:numFmt w:val="lowerLetter"/>
      <w:lvlText w:val="%2."/>
      <w:lvlJc w:val="left"/>
      <w:pPr>
        <w:tabs>
          <w:tab w:val="num" w:pos="1440"/>
        </w:tabs>
        <w:ind w:left="1440" w:hanging="360"/>
      </w:pPr>
      <w:rPr>
        <w:rFonts w:cs="Times New Roman"/>
      </w:rPr>
    </w:lvl>
    <w:lvl w:ilvl="2" w:tplc="4009001B" w:tentative="1">
      <w:start w:val="1"/>
      <w:numFmt w:val="lowerRoman"/>
      <w:lvlText w:val="%3."/>
      <w:lvlJc w:val="right"/>
      <w:pPr>
        <w:tabs>
          <w:tab w:val="num" w:pos="2160"/>
        </w:tabs>
        <w:ind w:left="2160" w:hanging="180"/>
      </w:pPr>
      <w:rPr>
        <w:rFonts w:cs="Times New Roman"/>
      </w:rPr>
    </w:lvl>
    <w:lvl w:ilvl="3" w:tplc="4009000F" w:tentative="1">
      <w:start w:val="1"/>
      <w:numFmt w:val="decimal"/>
      <w:lvlText w:val="%4."/>
      <w:lvlJc w:val="left"/>
      <w:pPr>
        <w:tabs>
          <w:tab w:val="num" w:pos="2880"/>
        </w:tabs>
        <w:ind w:left="2880" w:hanging="360"/>
      </w:pPr>
      <w:rPr>
        <w:rFonts w:cs="Times New Roman"/>
      </w:rPr>
    </w:lvl>
    <w:lvl w:ilvl="4" w:tplc="40090019" w:tentative="1">
      <w:start w:val="1"/>
      <w:numFmt w:val="lowerLetter"/>
      <w:lvlText w:val="%5."/>
      <w:lvlJc w:val="left"/>
      <w:pPr>
        <w:tabs>
          <w:tab w:val="num" w:pos="3600"/>
        </w:tabs>
        <w:ind w:left="3600" w:hanging="360"/>
      </w:pPr>
      <w:rPr>
        <w:rFonts w:cs="Times New Roman"/>
      </w:rPr>
    </w:lvl>
    <w:lvl w:ilvl="5" w:tplc="4009001B" w:tentative="1">
      <w:start w:val="1"/>
      <w:numFmt w:val="lowerRoman"/>
      <w:lvlText w:val="%6."/>
      <w:lvlJc w:val="right"/>
      <w:pPr>
        <w:tabs>
          <w:tab w:val="num" w:pos="4320"/>
        </w:tabs>
        <w:ind w:left="4320" w:hanging="180"/>
      </w:pPr>
      <w:rPr>
        <w:rFonts w:cs="Times New Roman"/>
      </w:rPr>
    </w:lvl>
    <w:lvl w:ilvl="6" w:tplc="4009000F" w:tentative="1">
      <w:start w:val="1"/>
      <w:numFmt w:val="decimal"/>
      <w:lvlText w:val="%7."/>
      <w:lvlJc w:val="left"/>
      <w:pPr>
        <w:tabs>
          <w:tab w:val="num" w:pos="5040"/>
        </w:tabs>
        <w:ind w:left="5040" w:hanging="360"/>
      </w:pPr>
      <w:rPr>
        <w:rFonts w:cs="Times New Roman"/>
      </w:rPr>
    </w:lvl>
    <w:lvl w:ilvl="7" w:tplc="40090019" w:tentative="1">
      <w:start w:val="1"/>
      <w:numFmt w:val="lowerLetter"/>
      <w:lvlText w:val="%8."/>
      <w:lvlJc w:val="left"/>
      <w:pPr>
        <w:tabs>
          <w:tab w:val="num" w:pos="5760"/>
        </w:tabs>
        <w:ind w:left="5760" w:hanging="360"/>
      </w:pPr>
      <w:rPr>
        <w:rFonts w:cs="Times New Roman"/>
      </w:rPr>
    </w:lvl>
    <w:lvl w:ilvl="8" w:tplc="4009001B" w:tentative="1">
      <w:start w:val="1"/>
      <w:numFmt w:val="lowerRoman"/>
      <w:lvlText w:val="%9."/>
      <w:lvlJc w:val="right"/>
      <w:pPr>
        <w:tabs>
          <w:tab w:val="num" w:pos="6480"/>
        </w:tabs>
        <w:ind w:left="6480" w:hanging="180"/>
      </w:pPr>
      <w:rPr>
        <w:rFonts w:cs="Times New Roman"/>
      </w:rPr>
    </w:lvl>
  </w:abstractNum>
  <w:abstractNum w:abstractNumId="1">
    <w:nsid w:val="3A866757"/>
    <w:multiLevelType w:val="hybridMultilevel"/>
    <w:tmpl w:val="ECE25FAA"/>
    <w:lvl w:ilvl="0" w:tplc="3EFEED48">
      <w:start w:val="1"/>
      <w:numFmt w:val="lowerLetter"/>
      <w:lvlText w:val="%1."/>
      <w:lvlJc w:val="left"/>
      <w:pPr>
        <w:ind w:left="1140" w:hanging="7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4"/>
    <w:rsid w:val="00C27E0F"/>
    <w:rsid w:val="00F261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F6B0B-9456-4BBE-B6C5-8FF1B5F5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74"/>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174"/>
    <w:pPr>
      <w:ind w:left="720"/>
      <w:contextualSpacing/>
    </w:pPr>
  </w:style>
  <w:style w:type="character" w:customStyle="1" w:styleId="ListParagraphChar">
    <w:name w:val="List Paragraph Char"/>
    <w:link w:val="ListParagraph"/>
    <w:uiPriority w:val="34"/>
    <w:locked/>
    <w:rsid w:val="00F26174"/>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Office Word</Application>
  <DocSecurity>0</DocSecurity>
  <Lines>27</Lines>
  <Paragraphs>7</Paragraphs>
  <ScaleCrop>false</ScaleCrop>
  <Company>Hewlett-Packard</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Rashna Kararia</dc:creator>
  <cp:keywords/>
  <dc:description/>
  <cp:lastModifiedBy>Rashna Kararia</cp:lastModifiedBy>
  <cp:revision>1</cp:revision>
  <dcterms:created xsi:type="dcterms:W3CDTF">2017-08-07T10:37:00Z</dcterms:created>
  <dcterms:modified xsi:type="dcterms:W3CDTF">2017-08-07T10:38:00Z</dcterms:modified>
</cp:coreProperties>
</file>